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22" w:type="dxa"/>
        <w:tblLook w:val="01E0" w:firstRow="1" w:lastRow="1" w:firstColumn="1" w:lastColumn="1" w:noHBand="0" w:noVBand="0"/>
      </w:tblPr>
      <w:tblGrid>
        <w:gridCol w:w="4788"/>
        <w:gridCol w:w="540"/>
        <w:gridCol w:w="399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94" w:type="dxa"/>
            <w:textDirection w:val="lrTb"/>
            <w:noWrap w:val="false"/>
          </w:tcPr>
          <w:p>
            <w:pPr>
              <w:ind w:firstLine="7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Утверждаю: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  <w:color w:val="ffffff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__________________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«_____» ______________ 2024г.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ТЕХНИЧЕСКОЕ ЗАДАНИЕ</w:t>
      </w:r>
      <w:r>
        <w:rPr>
          <w:rFonts w:ascii="Times New Roman" w:hAnsi="Times New Roman" w:cs="Times New Roman"/>
          <w:b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приобретение инженерного программного</w:t>
      </w:r>
      <w:r>
        <w:rPr>
          <w:rFonts w:ascii="Times New Roman" w:hAnsi="Times New Roman" w:cs="Times New Roman"/>
        </w:rPr>
        <w:t xml:space="preserve"> обеспечения </w:t>
      </w:r>
      <w:r>
        <w:rPr>
          <w:rFonts w:ascii="Times New Roman" w:hAnsi="Times New Roman" w:cs="Times New Roman"/>
        </w:rPr>
        <w:t xml:space="preserve">nanoCAD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Model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Studio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CADLib</w:t>
      </w:r>
      <w:r>
        <w:rPr>
          <w:rFonts w:ascii="Times New Roman" w:hAnsi="Times New Roman" w:cs="Times New Roman"/>
        </w:rPr>
        <w:t xml:space="preserve"> Модель, СТАРТ-</w:t>
      </w:r>
      <w:r>
        <w:rPr>
          <w:rFonts w:ascii="Times New Roman" w:hAnsi="Times New Roman" w:cs="Times New Roman"/>
        </w:rPr>
        <w:t xml:space="preserve">Проф</w:t>
      </w:r>
      <w:r>
        <w:rPr>
          <w:rFonts w:ascii="Times New Roman" w:hAnsi="Times New Roman" w:cs="Times New Roman"/>
        </w:rPr>
        <w:t xml:space="preserve">, Гидросистема, Изоляция, Лира, Расходомер и </w:t>
      </w:r>
      <w:r>
        <w:rPr>
          <w:rFonts w:ascii="Times New Roman" w:hAnsi="Times New Roman" w:cs="Times New Roman"/>
        </w:rPr>
        <w:t xml:space="preserve">Winsteel</w:t>
      </w:r>
      <w:r>
        <w:rPr>
          <w:rFonts w:ascii="Times New Roman" w:hAnsi="Times New Roman" w:cs="Times New Roman"/>
        </w:rPr>
        <w:t xml:space="preserve"> для нужд Барнаульского ОП ООО «Интер РАО-Инжиниринг» 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1.КРАТКОЕ ОПИСАНИЕ ЗАКУПАЕМЫХ ТОВАРОВ</w:t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Наименование и объем закупаемого товара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1.1.1.</w:t>
      </w:r>
      <w:r>
        <w:rPr>
          <w:rFonts w:ascii="Times New Roman" w:hAnsi="Times New Roman" w:cs="Times New Roman"/>
        </w:rPr>
        <w:tab/>
        <w:t xml:space="preserve">Приобретение инженерного программного обеспечения </w:t>
      </w:r>
      <w:r>
        <w:rPr>
          <w:rFonts w:ascii="Times New Roman" w:hAnsi="Times New Roman" w:cs="Times New Roman"/>
        </w:rPr>
        <w:t xml:space="preserve">nanoCAD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Model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Studio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CADlib</w:t>
      </w:r>
      <w:r>
        <w:rPr>
          <w:rFonts w:ascii="Times New Roman" w:hAnsi="Times New Roman" w:cs="Times New Roman"/>
        </w:rPr>
        <w:t xml:space="preserve"> Модель, СТАРТ-</w:t>
      </w:r>
      <w:r>
        <w:rPr>
          <w:rFonts w:ascii="Times New Roman" w:hAnsi="Times New Roman" w:cs="Times New Roman"/>
        </w:rPr>
        <w:t xml:space="preserve">Проф</w:t>
      </w:r>
      <w:r>
        <w:rPr>
          <w:rFonts w:ascii="Times New Roman" w:hAnsi="Times New Roman" w:cs="Times New Roman"/>
        </w:rPr>
        <w:t xml:space="preserve">, Гидросистема, Изоляция, Лира, Расходомер </w:t>
      </w:r>
      <w:r>
        <w:rPr>
          <w:rFonts w:ascii="Times New Roman" w:hAnsi="Times New Roman" w:cs="Times New Roman"/>
        </w:rPr>
        <w:t xml:space="preserve">и  </w:t>
      </w:r>
      <w:r>
        <w:rPr>
          <w:rFonts w:ascii="Times New Roman" w:hAnsi="Times New Roman" w:cs="Times New Roman"/>
        </w:rPr>
        <w:t xml:space="preserve">Winsteel</w:t>
      </w:r>
      <w:r>
        <w:rPr>
          <w:rFonts w:ascii="Times New Roman" w:hAnsi="Times New Roman" w:cs="Times New Roman"/>
        </w:rPr>
        <w:t xml:space="preserve"> (приложение №1 к ТЗ).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Сроки поставки товаров</w:t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Начало поставки – 01.01.2025</w:t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Окончание постав</w:t>
      </w:r>
      <w:r>
        <w:rPr>
          <w:rFonts w:ascii="Times New Roman" w:hAnsi="Times New Roman" w:cs="Times New Roman"/>
        </w:rPr>
        <w:t xml:space="preserve">ки – не позднее 09.01.2025</w:t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Возможность поставки аналогичных товаров.</w:t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аналогичных товаров не возможна.</w:t>
      </w:r>
      <w:r>
        <w:rPr>
          <w:rFonts w:ascii="Times New Roman" w:hAnsi="Times New Roman" w:cs="Times New Roman"/>
        </w:rPr>
      </w:r>
    </w:p>
    <w:p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ОБЩИЕ ТРЕБОВАНИЯ</w:t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Место применения, использования товара</w:t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Применение товара будет осуществляться в Барнаульском обособленном подраз</w:t>
      </w:r>
      <w:r>
        <w:rPr>
          <w:rFonts w:ascii="Times New Roman" w:hAnsi="Times New Roman" w:cs="Times New Roman"/>
        </w:rPr>
        <w:t xml:space="preserve">делении ООО «Интер РАО – Инжиниринг» по адресу: Российская Федерация, Алтайский край, г. Барнаул, ул. 80 Гвардейской дивизии, здание 37, стр. 1, оф. 301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Требования к товару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</w:t>
      </w:r>
      <w:r>
        <w:rPr>
          <w:rFonts w:ascii="Times New Roman" w:hAnsi="Times New Roman" w:cs="Times New Roman"/>
        </w:rPr>
        <w:tab/>
        <w:t xml:space="preserve">Программное обеспечение должно быть лицензионным.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2.2.2. Лицензии на по</w:t>
      </w:r>
      <w:r>
        <w:rPr>
          <w:rFonts w:ascii="Times New Roman" w:hAnsi="Times New Roman" w:cs="Times New Roman"/>
        </w:rPr>
        <w:t xml:space="preserve">ставляемое программное обеспечение должны быть предложены в соответствии с правилами лицензирования, установленные компанией-вендором.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Поставщик должен обеспечить работоспособность всего предлагаемого ПО, как в составе комплекта, так и в качестве са</w:t>
      </w:r>
      <w:r>
        <w:rPr>
          <w:rFonts w:ascii="Times New Roman" w:hAnsi="Times New Roman" w:cs="Times New Roman"/>
        </w:rPr>
        <w:t xml:space="preserve">мостоятельных единиц. Лицензии поставляются в электронном виде.</w:t>
      </w:r>
      <w:r/>
      <w:r/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2.2.4. </w:t>
      </w:r>
      <w:r/>
      <w:r>
        <w:rPr>
          <w:rFonts w:ascii="Times New Roman" w:hAnsi="Times New Roman" w:cs="Times New Roman"/>
        </w:rPr>
        <w:t xml:space="preserve">Поставляемая продукция должна удовлетворять требованиям, предоставленным в настоящем Техническом задании. Продукция должна быть новой, ранее неиспользованной, не обременённой прав</w:t>
      </w:r>
      <w:r>
        <w:rPr>
          <w:rFonts w:ascii="Times New Roman" w:hAnsi="Times New Roman" w:cs="Times New Roman"/>
        </w:rPr>
        <w:t xml:space="preserve">ами третьих лиц, не состоять в споре и/или под арестом. Требования к товару представлены в Спецификации (Приложение №1 к ТЗ)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2.2.5.</w:t>
      </w:r>
      <w:r>
        <w:rPr>
          <w:rFonts w:ascii="Times New Roman" w:hAnsi="Times New Roman" w:cs="Times New Roman"/>
        </w:rPr>
        <w:tab/>
        <w:t xml:space="preserve">Все закупаемая продукция должна свободно поставляться на территорию РФ.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</w:t>
      </w:r>
      <w:r>
        <w:rPr>
          <w:rFonts w:ascii="Times New Roman" w:hAnsi="Times New Roman" w:cs="Times New Roman"/>
        </w:rPr>
        <w:t xml:space="preserve">6.</w:t>
      </w:r>
      <w:r>
        <w:rPr>
          <w:rFonts w:ascii="Times New Roman" w:hAnsi="Times New Roman" w:eastAsia="Times New Roman" w:cs="Times New Roman"/>
        </w:rPr>
        <w:t xml:space="preserve">Состав</w:t>
      </w:r>
      <w:r>
        <w:rPr>
          <w:rFonts w:ascii="Times New Roman" w:hAnsi="Times New Roman" w:eastAsia="Times New Roman" w:cs="Times New Roman"/>
        </w:rPr>
        <w:t xml:space="preserve"> и количество поставляемой продукции пре</w:t>
      </w:r>
      <w:r>
        <w:rPr>
          <w:rFonts w:ascii="Times New Roman" w:hAnsi="Times New Roman" w:eastAsia="Times New Roman" w:cs="Times New Roman"/>
        </w:rPr>
        <w:t xml:space="preserve">дставлены в Приложении № 1 к настоящему Техническому заданию. 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Требования к применяемым в производстве материалам и оборудованию 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 Требования о соответствии товара обязательным требованиям законодательства о техническом регулировании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Требования о добровольной сертификации товара 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t xml:space="preserve">    </w:t>
      </w:r>
      <w:r>
        <w:rPr>
          <w:rFonts w:ascii="Times New Roman" w:hAnsi="Times New Roman" w:cs="Times New Roman"/>
        </w:rPr>
        <w:t xml:space="preserve">Не требуется</w:t>
      </w:r>
      <w:r/>
      <w:r/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Требования к гарантийному сроку и (или) объёму предоставления гарантий качества на поставляемый товар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Требования к расходам на эксплуатацию и техн</w:t>
      </w:r>
      <w:r>
        <w:rPr>
          <w:rFonts w:ascii="Times New Roman" w:hAnsi="Times New Roman" w:cs="Times New Roman"/>
        </w:rPr>
        <w:t xml:space="preserve">ическое обслуживание поставленных товаров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Требования к передаче интеллектуальных прав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2.9. Требования по осуществлению сопутствующих работ при поставке товаров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ТРЕБОВАНИЯ К ВЫПОЛНЕНИЮ ПОСТАВКИ ТОВАРОВ</w:t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</w:rPr>
        <w:t xml:space="preserve"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Требования к отгрузке и доставке приобретенных товаров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hd w:val="clear" w:color="ffffff" w:fill="ffffff"/>
        <w:rPr>
          <w:rFonts w:ascii="Times New Roman" w:hAnsi="Times New Roman" w:eastAsia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</w:rPr>
        <w:t xml:space="preserve">Поставка товаров осуществляется в электронном виде путем направления скан-копий бланков лицензий на почтовый ящик Заказчика (электронный адрес будет предоставлен победителю), оригиналы бланков на элек</w:t>
      </w:r>
      <w:r>
        <w:rPr>
          <w:rFonts w:ascii="Times New Roman" w:hAnsi="Times New Roman" w:eastAsia="Times New Roman" w:cs="Times New Roman"/>
        </w:rPr>
        <w:t xml:space="preserve">тронных носителях направляются на адрес Заказчика.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Требования к таре и упаков</w:t>
      </w:r>
      <w:r>
        <w:rPr>
          <w:rFonts w:ascii="Times New Roman" w:hAnsi="Times New Roman" w:cs="Times New Roman"/>
        </w:rPr>
        <w:t xml:space="preserve">ке приобретаемой продукции.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Требования к приемке продукции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Поставщиком Покупателю предоставляется: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Счета (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) - фактуры;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Счета (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);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Акт приемки-передачи неисключительных прав на использование интеллектуальной деятельности на основании лицензионного договора;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Требования к передаваемой Заказчику документации по оценке соответствия требованиям безопасности и качественным показателя</w:t>
      </w:r>
      <w:r>
        <w:rPr>
          <w:rFonts w:ascii="Times New Roman" w:hAnsi="Times New Roman" w:cs="Times New Roman"/>
        </w:rPr>
        <w:t xml:space="preserve">м товаров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line="274" w:lineRule="exact"/>
        <w:tabs>
          <w:tab w:val="left" w:pos="567" w:leader="none"/>
        </w:tabs>
        <w:rPr>
          <w:rFonts w:ascii="Times New Roman" w:hAnsi="Times New Roman" w:eastAsia="Calibri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eastAsia="Calibri" w:cs="Times New Roman"/>
          <w:b/>
          <w:bCs/>
        </w:rPr>
        <w:t xml:space="preserve">ПОРЯДОК ФОРМИРОВАНИЯ КОММЕРЧЕСКОГО ПРЕДЛОЖЕНИЯ УЧАСТНИКА ЗАКУПКИ, ОБОСНОВАНИЯ ЦЕНЫ, РАСЧЕТОВ, ПРЕДОСТАВЛЕНИЯ БАНКОВСКИХ ГАРАНТИЙ</w:t>
      </w:r>
      <w:r>
        <w:rPr>
          <w:rFonts w:ascii="Times New Roman" w:hAnsi="Times New Roman" w:eastAsia="Calibri" w:cs="Times New Roman"/>
          <w:b/>
          <w:bCs/>
        </w:rPr>
      </w:r>
    </w:p>
    <w:p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Участник формирует свое коммерческое предложение по форме и в соответствии с инструкциями, указанны</w:t>
      </w:r>
      <w:r>
        <w:rPr>
          <w:rFonts w:ascii="Times New Roman" w:hAnsi="Times New Roman" w:cs="Times New Roman"/>
        </w:rPr>
        <w:t xml:space="preserve">ми в спецификации (приложение №1 к ТЗ).</w:t>
      </w:r>
      <w:r>
        <w:rPr>
          <w:rFonts w:ascii="Times New Roman" w:hAnsi="Times New Roman" w:cs="Times New Roman"/>
          <w:b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Требования к порядку расчетов </w:t>
      </w:r>
      <w:r/>
      <w:r>
        <w:rPr>
          <w:rFonts w:ascii="Times New Roman" w:hAnsi="Times New Roman" w:cs="Times New Roman"/>
        </w:rPr>
        <w:t xml:space="preserve">указаны в проекте Договора. 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ТРЕБОВАНИЯ К УЧАСТНИКАМ ЗАКУПКИ </w:t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Требования о наличии аккредитации в Группе «Интер РАО»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Требования о наличии сертифицированных систем менеджмента</w:t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Желательным является если участник</w:t>
      </w:r>
      <w:r>
        <w:rPr>
          <w:rFonts w:ascii="Times New Roman" w:hAnsi="Times New Roman" w:cs="Times New Roman"/>
          <w:iCs/>
        </w:rPr>
        <w:t xml:space="preserve"> закупки предоставит в составе своей заявки документы (копии сертификатов), подтверждающие наличие у него системы менеджмента качества, действующей в соответствии с</w:t>
      </w:r>
      <w:r>
        <w:rPr>
          <w:rFonts w:ascii="Times New Roman" w:hAnsi="Times New Roman" w:cs="Times New Roman"/>
          <w:iCs/>
        </w:rPr>
        <w:t xml:space="preserve"> законодательными и нормативными актами РФ ИСО 9001, действующих систем менеджмента промышленной безопасности и охраны труда (</w:t>
      </w:r>
      <w:r>
        <w:rPr>
          <w:rFonts w:ascii="Times New Roman" w:hAnsi="Times New Roman" w:cs="Times New Roman"/>
          <w:iCs/>
        </w:rPr>
        <w:t xml:space="preserve">СМПБиОТ</w:t>
      </w:r>
      <w:r>
        <w:rPr>
          <w:rFonts w:ascii="Times New Roman" w:hAnsi="Times New Roman" w:cs="Times New Roman"/>
          <w:iCs/>
        </w:rPr>
        <w:t xml:space="preserve">) OHSAS 18001/ISO 45001, экологического менеджмента (ISO 14001), системы энергетического менеджмента ISO 50001/ГОСТ Р ИСО 5</w:t>
      </w:r>
      <w:r>
        <w:rPr>
          <w:rFonts w:ascii="Times New Roman" w:hAnsi="Times New Roman" w:cs="Times New Roman"/>
          <w:iCs/>
        </w:rPr>
        <w:t xml:space="preserve">0001). </w:t>
      </w:r>
      <w:r>
        <w:rPr>
          <w:rFonts w:ascii="Times New Roman" w:hAnsi="Times New Roman" w:cs="Times New Roman"/>
          <w:i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Требования к опыту поставки аналогичных товаров</w:t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Участник закупки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 товар</w:t>
      </w:r>
      <w:r>
        <w:rPr>
          <w:rFonts w:ascii="Times New Roman" w:hAnsi="Times New Roman" w:cs="Times New Roman"/>
        </w:rPr>
        <w:t xml:space="preserve">ов в количестве не менее 3 исполненных договоров за последние пять лет, предшествующих дате подачи заявки на участие в данной закупке.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Требования по подтверждению отношений с производителем товара</w:t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Участник закупки в своем предложении должен указать наименование производителя предлагаемой к поставке продукции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5.5. Прочие требования к участникам закупки</w:t>
      </w:r>
      <w:r>
        <w:rPr>
          <w:rFonts w:ascii="Times New Roman" w:hAnsi="Times New Roman" w:cs="Times New Roman"/>
          <w:i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</w:t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20"/>
        <w:ind w:left="540"/>
        <w:jc w:val="both"/>
        <w:spacing w:after="0" w:line="240" w:lineRule="auto"/>
        <w:tabs>
          <w:tab w:val="left" w:pos="993" w:leader="none"/>
        </w:tabs>
      </w:pPr>
      <w:r/>
      <w:r/>
    </w:p>
    <w:p>
      <w:pPr>
        <w:ind w:firstLine="5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Ответственный исполнитель:</w:t>
      </w:r>
      <w:r>
        <w:rPr>
          <w:rFonts w:ascii="Times New Roman" w:hAnsi="Times New Roman" w:eastAsia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headerReference w:type="default" r:id="rId9"/>
      <w:footerReference w:type="default" r:id="rId10"/>
      <w:footnotePr/>
      <w:endnotePr/>
      <w:type w:val="nextPage"/>
      <w:pgSz w:w="11909" w:h="16838" w:orient="portrait"/>
      <w:pgMar w:top="1440" w:right="1080" w:bottom="1702" w:left="108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4090202050204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5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76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5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16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pPr>
      <w:widowControl w:val="off"/>
    </w:pPr>
    <w:rPr>
      <w:rFonts w:ascii="Courier New" w:hAnsi="Courier New" w:eastAsia="Courier New" w:cs="Courier New"/>
      <w:color w:val="000000"/>
      <w:sz w:val="24"/>
      <w:szCs w:val="24"/>
      <w:lang w:bidi="ru-RU"/>
    </w:rPr>
  </w:style>
  <w:style w:type="paragraph" w:styleId="684">
    <w:name w:val="Heading 1"/>
    <w:basedOn w:val="683"/>
    <w:next w:val="683"/>
    <w:link w:val="71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next w:val="683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next w:val="683"/>
    <w:link w:val="7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next w:val="683"/>
    <w:link w:val="71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next w:val="683"/>
    <w:link w:val="7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9">
    <w:name w:val="Heading 6"/>
    <w:basedOn w:val="683"/>
    <w:next w:val="683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83"/>
    <w:next w:val="683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683"/>
    <w:next w:val="683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683"/>
    <w:next w:val="683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 w:customStyle="1">
    <w:name w:val="Heading 1 Char"/>
    <w:basedOn w:val="693"/>
    <w:uiPriority w:val="9"/>
    <w:rPr>
      <w:rFonts w:ascii="Arial" w:hAnsi="Arial" w:eastAsia="Arial" w:cs="Arial"/>
      <w:sz w:val="40"/>
      <w:szCs w:val="40"/>
    </w:rPr>
  </w:style>
  <w:style w:type="character" w:styleId="697" w:customStyle="1">
    <w:name w:val="Heading 2 Char"/>
    <w:basedOn w:val="693"/>
    <w:uiPriority w:val="9"/>
    <w:rPr>
      <w:rFonts w:ascii="Arial" w:hAnsi="Arial" w:eastAsia="Arial" w:cs="Arial"/>
      <w:sz w:val="34"/>
    </w:rPr>
  </w:style>
  <w:style w:type="character" w:styleId="698" w:customStyle="1">
    <w:name w:val="Heading 3 Char"/>
    <w:basedOn w:val="693"/>
    <w:uiPriority w:val="9"/>
    <w:rPr>
      <w:rFonts w:ascii="Arial" w:hAnsi="Arial" w:eastAsia="Arial" w:cs="Arial"/>
      <w:sz w:val="30"/>
      <w:szCs w:val="30"/>
    </w:rPr>
  </w:style>
  <w:style w:type="character" w:styleId="699" w:customStyle="1">
    <w:name w:val="Heading 4 Char"/>
    <w:basedOn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Heading 5 Char"/>
    <w:basedOn w:val="693"/>
    <w:uiPriority w:val="9"/>
    <w:rPr>
      <w:rFonts w:ascii="Arial" w:hAnsi="Arial" w:eastAsia="Arial" w:cs="Arial"/>
      <w:b/>
      <w:bCs/>
      <w:sz w:val="24"/>
      <w:szCs w:val="24"/>
    </w:rPr>
  </w:style>
  <w:style w:type="character" w:styleId="701" w:customStyle="1">
    <w:name w:val="Heading 6 Char"/>
    <w:basedOn w:val="693"/>
    <w:uiPriority w:val="9"/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Heading 7 Char"/>
    <w:basedOn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 w:customStyle="1">
    <w:name w:val="Heading 8 Char"/>
    <w:basedOn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4" w:customStyle="1">
    <w:name w:val="Heading 9 Char"/>
    <w:basedOn w:val="693"/>
    <w:uiPriority w:val="9"/>
    <w:rPr>
      <w:rFonts w:ascii="Arial" w:hAnsi="Arial" w:eastAsia="Arial" w:cs="Arial"/>
      <w:i/>
      <w:iCs/>
      <w:sz w:val="21"/>
      <w:szCs w:val="21"/>
    </w:rPr>
  </w:style>
  <w:style w:type="character" w:styleId="705" w:customStyle="1">
    <w:name w:val="Title Char"/>
    <w:basedOn w:val="693"/>
    <w:uiPriority w:val="10"/>
    <w:rPr>
      <w:sz w:val="48"/>
      <w:szCs w:val="48"/>
    </w:rPr>
  </w:style>
  <w:style w:type="character" w:styleId="706" w:customStyle="1">
    <w:name w:val="Subtitle Char"/>
    <w:basedOn w:val="693"/>
    <w:uiPriority w:val="11"/>
    <w:rPr>
      <w:sz w:val="24"/>
      <w:szCs w:val="24"/>
    </w:rPr>
  </w:style>
  <w:style w:type="character" w:styleId="707" w:customStyle="1">
    <w:name w:val="Quote Char"/>
    <w:uiPriority w:val="29"/>
    <w:rPr>
      <w:i/>
    </w:rPr>
  </w:style>
  <w:style w:type="character" w:styleId="708" w:customStyle="1">
    <w:name w:val="Intense Quote Char"/>
    <w:uiPriority w:val="30"/>
    <w:rPr>
      <w:i/>
    </w:rPr>
  </w:style>
  <w:style w:type="character" w:styleId="709" w:customStyle="1">
    <w:name w:val="Footnote Text Char"/>
    <w:uiPriority w:val="99"/>
    <w:rPr>
      <w:sz w:val="18"/>
    </w:rPr>
  </w:style>
  <w:style w:type="character" w:styleId="710" w:customStyle="1">
    <w:name w:val="Endnote Text Char"/>
    <w:uiPriority w:val="99"/>
    <w:rPr>
      <w:sz w:val="20"/>
    </w:rPr>
  </w:style>
  <w:style w:type="character" w:styleId="711" w:customStyle="1">
    <w:name w:val="Заголовок 1 Знак"/>
    <w:link w:val="684"/>
    <w:uiPriority w:val="9"/>
    <w:rPr>
      <w:rFonts w:ascii="Arial" w:hAnsi="Arial" w:eastAsia="Arial" w:cs="Arial"/>
      <w:sz w:val="40"/>
      <w:szCs w:val="40"/>
    </w:rPr>
  </w:style>
  <w:style w:type="character" w:styleId="712" w:customStyle="1">
    <w:name w:val="Заголовок 2 Знак"/>
    <w:link w:val="685"/>
    <w:uiPriority w:val="9"/>
    <w:rPr>
      <w:rFonts w:ascii="Arial" w:hAnsi="Arial" w:eastAsia="Arial" w:cs="Arial"/>
      <w:sz w:val="34"/>
    </w:rPr>
  </w:style>
  <w:style w:type="character" w:styleId="713" w:customStyle="1">
    <w:name w:val="Заголовок 3 Знак"/>
    <w:link w:val="686"/>
    <w:uiPriority w:val="9"/>
    <w:rPr>
      <w:rFonts w:ascii="Arial" w:hAnsi="Arial" w:eastAsia="Arial" w:cs="Arial"/>
      <w:sz w:val="30"/>
      <w:szCs w:val="30"/>
    </w:rPr>
  </w:style>
  <w:style w:type="character" w:styleId="714" w:customStyle="1">
    <w:name w:val="Заголовок 4 Знак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715" w:customStyle="1">
    <w:name w:val="Заголовок 5 Знак"/>
    <w:link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716" w:customStyle="1">
    <w:name w:val="Заголовок 6 Знак"/>
    <w:link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717" w:customStyle="1">
    <w:name w:val="Заголовок 7 Знак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8" w:customStyle="1">
    <w:name w:val="Заголовок 8 Знак"/>
    <w:link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719" w:customStyle="1">
    <w:name w:val="Заголовок 9 Знак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List Paragraph"/>
    <w:basedOn w:val="683"/>
    <w:link w:val="889"/>
    <w:uiPriority w:val="34"/>
    <w:qFormat/>
    <w:pPr>
      <w:contextualSpacing/>
      <w:ind w:left="720"/>
      <w:spacing w:after="200" w:line="276" w:lineRule="auto"/>
      <w:widowControl/>
    </w:pPr>
    <w:rPr>
      <w:rFonts w:ascii="Times New Roman" w:hAnsi="Times New Roman" w:eastAsia="Calibri" w:cs="Times New Roman"/>
      <w:lang w:eastAsia="en-US" w:bidi="ar-SA"/>
    </w:rPr>
  </w:style>
  <w:style w:type="paragraph" w:styleId="721">
    <w:name w:val="No Spacing"/>
    <w:uiPriority w:val="1"/>
    <w:qFormat/>
    <w:pPr>
      <w:widowControl w:val="off"/>
    </w:pPr>
    <w:rPr>
      <w:rFonts w:ascii="Courier New" w:hAnsi="Courier New" w:eastAsia="Courier New" w:cs="Courier New"/>
      <w:color w:val="000000"/>
      <w:sz w:val="24"/>
      <w:szCs w:val="24"/>
      <w:lang w:bidi="ru-RU"/>
    </w:rPr>
  </w:style>
  <w:style w:type="paragraph" w:styleId="722">
    <w:name w:val="Title"/>
    <w:basedOn w:val="683"/>
    <w:next w:val="683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 w:customStyle="1">
    <w:name w:val="Заголовок Знак"/>
    <w:link w:val="722"/>
    <w:uiPriority w:val="10"/>
    <w:rPr>
      <w:sz w:val="48"/>
      <w:szCs w:val="48"/>
    </w:rPr>
  </w:style>
  <w:style w:type="paragraph" w:styleId="724">
    <w:name w:val="Subtitle"/>
    <w:basedOn w:val="683"/>
    <w:next w:val="683"/>
    <w:link w:val="725"/>
    <w:uiPriority w:val="11"/>
    <w:qFormat/>
    <w:pPr>
      <w:spacing w:before="200" w:after="200"/>
    </w:pPr>
  </w:style>
  <w:style w:type="character" w:styleId="725" w:customStyle="1">
    <w:name w:val="Подзаголовок Знак"/>
    <w:link w:val="724"/>
    <w:uiPriority w:val="11"/>
    <w:rPr>
      <w:sz w:val="24"/>
      <w:szCs w:val="24"/>
    </w:rPr>
  </w:style>
  <w:style w:type="paragraph" w:styleId="726">
    <w:name w:val="Quote"/>
    <w:basedOn w:val="683"/>
    <w:next w:val="683"/>
    <w:link w:val="727"/>
    <w:uiPriority w:val="29"/>
    <w:qFormat/>
    <w:pPr>
      <w:ind w:left="720" w:right="720"/>
    </w:pPr>
    <w:rPr>
      <w:i/>
    </w:rPr>
  </w:style>
  <w:style w:type="character" w:styleId="727" w:customStyle="1">
    <w:name w:val="Цитата 2 Знак"/>
    <w:link w:val="726"/>
    <w:uiPriority w:val="29"/>
    <w:rPr>
      <w:i/>
    </w:rPr>
  </w:style>
  <w:style w:type="paragraph" w:styleId="728">
    <w:name w:val="Intense Quote"/>
    <w:basedOn w:val="683"/>
    <w:next w:val="683"/>
    <w:link w:val="72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 w:customStyle="1">
    <w:name w:val="Выделенная цитата Знак"/>
    <w:link w:val="728"/>
    <w:uiPriority w:val="30"/>
    <w:rPr>
      <w:i/>
    </w:rPr>
  </w:style>
  <w:style w:type="paragraph" w:styleId="730">
    <w:name w:val="Header"/>
    <w:basedOn w:val="683"/>
    <w:link w:val="88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1" w:customStyle="1">
    <w:name w:val="Header Char"/>
    <w:uiPriority w:val="99"/>
  </w:style>
  <w:style w:type="paragraph" w:styleId="732">
    <w:name w:val="Footer"/>
    <w:basedOn w:val="683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3" w:customStyle="1">
    <w:name w:val="Footer Char"/>
    <w:uiPriority w:val="99"/>
  </w:style>
  <w:style w:type="paragraph" w:styleId="734">
    <w:name w:val="Caption"/>
    <w:basedOn w:val="683"/>
    <w:next w:val="68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5" w:customStyle="1">
    <w:name w:val="Caption Char"/>
    <w:uiPriority w:val="99"/>
  </w:style>
  <w:style w:type="table" w:styleId="736">
    <w:name w:val="Table Grid"/>
    <w:basedOn w:val="694"/>
    <w:uiPriority w:val="59"/>
    <w:pPr>
      <w:widowControl w:val="off"/>
    </w:pPr>
    <w:rPr>
      <w:rFonts w:ascii="Courier New" w:hAnsi="Courier New" w:eastAsia="Courier New" w:cs="Courier New"/>
      <w:sz w:val="24"/>
      <w:szCs w:val="24"/>
    </w:rPr>
    <w:tblPr/>
  </w:style>
  <w:style w:type="table" w:styleId="73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8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2">
    <w:name w:val="Hyperlink"/>
    <w:uiPriority w:val="99"/>
    <w:unhideWhenUsed/>
    <w:rPr>
      <w:color w:val="0000ff"/>
      <w:u w:val="single"/>
    </w:rPr>
  </w:style>
  <w:style w:type="paragraph" w:styleId="863">
    <w:name w:val="footnote text"/>
    <w:basedOn w:val="683"/>
    <w:link w:val="864"/>
    <w:uiPriority w:val="99"/>
    <w:semiHidden/>
    <w:unhideWhenUsed/>
    <w:pPr>
      <w:spacing w:after="40"/>
    </w:pPr>
    <w:rPr>
      <w:sz w:val="18"/>
    </w:rPr>
  </w:style>
  <w:style w:type="character" w:styleId="864" w:customStyle="1">
    <w:name w:val="Текст сноски Знак"/>
    <w:link w:val="863"/>
    <w:uiPriority w:val="99"/>
    <w:rPr>
      <w:sz w:val="18"/>
    </w:rPr>
  </w:style>
  <w:style w:type="character" w:styleId="865">
    <w:name w:val="footnote reference"/>
    <w:uiPriority w:val="99"/>
    <w:unhideWhenUsed/>
    <w:rPr>
      <w:vertAlign w:val="superscript"/>
    </w:rPr>
  </w:style>
  <w:style w:type="paragraph" w:styleId="866">
    <w:name w:val="endnote text"/>
    <w:basedOn w:val="683"/>
    <w:link w:val="867"/>
    <w:uiPriority w:val="99"/>
    <w:semiHidden/>
    <w:unhideWhenUsed/>
    <w:rPr>
      <w:sz w:val="20"/>
    </w:rPr>
  </w:style>
  <w:style w:type="character" w:styleId="867" w:customStyle="1">
    <w:name w:val="Текст концевой сноски Знак"/>
    <w:link w:val="866"/>
    <w:uiPriority w:val="99"/>
    <w:rPr>
      <w:sz w:val="20"/>
    </w:rPr>
  </w:style>
  <w:style w:type="character" w:styleId="868">
    <w:name w:val="endnote reference"/>
    <w:uiPriority w:val="99"/>
    <w:semiHidden/>
    <w:unhideWhenUsed/>
    <w:rPr>
      <w:vertAlign w:val="superscript"/>
    </w:rPr>
  </w:style>
  <w:style w:type="paragraph" w:styleId="869">
    <w:name w:val="toc 1"/>
    <w:basedOn w:val="683"/>
    <w:next w:val="683"/>
    <w:uiPriority w:val="39"/>
    <w:unhideWhenUsed/>
    <w:pPr>
      <w:spacing w:after="57"/>
    </w:pPr>
  </w:style>
  <w:style w:type="paragraph" w:styleId="870">
    <w:name w:val="toc 2"/>
    <w:basedOn w:val="683"/>
    <w:next w:val="683"/>
    <w:uiPriority w:val="39"/>
    <w:unhideWhenUsed/>
    <w:pPr>
      <w:ind w:left="283"/>
      <w:spacing w:after="57"/>
    </w:pPr>
  </w:style>
  <w:style w:type="paragraph" w:styleId="871">
    <w:name w:val="toc 3"/>
    <w:basedOn w:val="683"/>
    <w:next w:val="683"/>
    <w:uiPriority w:val="39"/>
    <w:unhideWhenUsed/>
    <w:pPr>
      <w:ind w:left="567"/>
      <w:spacing w:after="57"/>
    </w:pPr>
  </w:style>
  <w:style w:type="paragraph" w:styleId="872">
    <w:name w:val="toc 4"/>
    <w:basedOn w:val="683"/>
    <w:next w:val="683"/>
    <w:uiPriority w:val="39"/>
    <w:unhideWhenUsed/>
    <w:pPr>
      <w:ind w:left="850"/>
      <w:spacing w:after="57"/>
    </w:pPr>
  </w:style>
  <w:style w:type="paragraph" w:styleId="873">
    <w:name w:val="toc 5"/>
    <w:basedOn w:val="683"/>
    <w:next w:val="683"/>
    <w:uiPriority w:val="39"/>
    <w:unhideWhenUsed/>
    <w:pPr>
      <w:ind w:left="1134"/>
      <w:spacing w:after="57"/>
    </w:pPr>
  </w:style>
  <w:style w:type="paragraph" w:styleId="874">
    <w:name w:val="toc 6"/>
    <w:basedOn w:val="683"/>
    <w:next w:val="683"/>
    <w:uiPriority w:val="39"/>
    <w:unhideWhenUsed/>
    <w:pPr>
      <w:ind w:left="1417"/>
      <w:spacing w:after="57"/>
    </w:pPr>
  </w:style>
  <w:style w:type="paragraph" w:styleId="875">
    <w:name w:val="toc 7"/>
    <w:basedOn w:val="683"/>
    <w:next w:val="683"/>
    <w:uiPriority w:val="39"/>
    <w:unhideWhenUsed/>
    <w:pPr>
      <w:ind w:left="1701"/>
      <w:spacing w:after="57"/>
    </w:pPr>
  </w:style>
  <w:style w:type="paragraph" w:styleId="876">
    <w:name w:val="toc 8"/>
    <w:basedOn w:val="683"/>
    <w:next w:val="683"/>
    <w:uiPriority w:val="39"/>
    <w:unhideWhenUsed/>
    <w:pPr>
      <w:ind w:left="1984"/>
      <w:spacing w:after="57"/>
    </w:pPr>
  </w:style>
  <w:style w:type="paragraph" w:styleId="877">
    <w:name w:val="toc 9"/>
    <w:basedOn w:val="683"/>
    <w:next w:val="683"/>
    <w:uiPriority w:val="39"/>
    <w:unhideWhenUsed/>
    <w:pPr>
      <w:ind w:left="2268"/>
      <w:spacing w:after="57"/>
    </w:pPr>
  </w:style>
  <w:style w:type="paragraph" w:styleId="878">
    <w:name w:val="TOC Heading"/>
    <w:uiPriority w:val="39"/>
    <w:unhideWhenUsed/>
    <w:rPr>
      <w:lang w:eastAsia="zh-CN"/>
    </w:rPr>
  </w:style>
  <w:style w:type="paragraph" w:styleId="879">
    <w:name w:val="table of figures"/>
    <w:basedOn w:val="683"/>
    <w:next w:val="683"/>
    <w:uiPriority w:val="99"/>
    <w:unhideWhenUsed/>
  </w:style>
  <w:style w:type="character" w:styleId="880">
    <w:name w:val="annotation reference"/>
    <w:uiPriority w:val="99"/>
    <w:semiHidden/>
    <w:unhideWhenUsed/>
    <w:rPr>
      <w:sz w:val="16"/>
      <w:szCs w:val="16"/>
    </w:rPr>
  </w:style>
  <w:style w:type="paragraph" w:styleId="881">
    <w:name w:val="annotation text"/>
    <w:basedOn w:val="683"/>
    <w:link w:val="882"/>
    <w:uiPriority w:val="99"/>
    <w:semiHidden/>
    <w:unhideWhenUsed/>
    <w:rPr>
      <w:sz w:val="20"/>
      <w:szCs w:val="20"/>
    </w:rPr>
  </w:style>
  <w:style w:type="character" w:styleId="882" w:customStyle="1">
    <w:name w:val="Текст примечания Знак"/>
    <w:link w:val="881"/>
    <w:uiPriority w:val="99"/>
    <w:semiHidden/>
    <w:rPr>
      <w:rFonts w:ascii="Courier New" w:hAnsi="Courier New" w:eastAsia="Courier New" w:cs="Courier New"/>
      <w:color w:val="000000"/>
      <w:sz w:val="20"/>
      <w:szCs w:val="20"/>
      <w:lang w:eastAsia="ru-RU" w:bidi="ru-RU"/>
    </w:rPr>
  </w:style>
  <w:style w:type="character" w:styleId="883" w:customStyle="1">
    <w:name w:val="Верхний колонтитул Знак"/>
    <w:link w:val="730"/>
    <w:uiPriority w:val="99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character" w:styleId="884" w:customStyle="1">
    <w:name w:val="Нижний колонтитул Знак"/>
    <w:link w:val="732"/>
    <w:uiPriority w:val="99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paragraph" w:styleId="885">
    <w:name w:val="Balloon Text"/>
    <w:basedOn w:val="683"/>
    <w:link w:val="886"/>
    <w:uiPriority w:val="99"/>
    <w:semiHidden/>
    <w:unhideWhenUsed/>
    <w:rPr>
      <w:rFonts w:ascii="Tahoma" w:hAnsi="Tahoma" w:cs="Tahoma"/>
      <w:sz w:val="16"/>
      <w:szCs w:val="16"/>
    </w:rPr>
  </w:style>
  <w:style w:type="character" w:styleId="886" w:customStyle="1">
    <w:name w:val="Текст выноски Знак"/>
    <w:link w:val="885"/>
    <w:uiPriority w:val="99"/>
    <w:semiHidden/>
    <w:rPr>
      <w:rFonts w:ascii="Tahoma" w:hAnsi="Tahoma" w:eastAsia="Courier New" w:cs="Tahoma"/>
      <w:color w:val="000000"/>
      <w:sz w:val="16"/>
      <w:szCs w:val="16"/>
      <w:lang w:bidi="ru-RU"/>
    </w:rPr>
  </w:style>
  <w:style w:type="paragraph" w:styleId="887">
    <w:name w:val="annotation subject"/>
    <w:basedOn w:val="881"/>
    <w:next w:val="881"/>
    <w:link w:val="888"/>
    <w:uiPriority w:val="99"/>
    <w:semiHidden/>
    <w:unhideWhenUsed/>
    <w:rPr>
      <w:b/>
      <w:bCs/>
    </w:rPr>
  </w:style>
  <w:style w:type="character" w:styleId="888" w:customStyle="1">
    <w:name w:val="Тема примечания Знак"/>
    <w:link w:val="887"/>
    <w:uiPriority w:val="99"/>
    <w:semiHidden/>
    <w:rPr>
      <w:rFonts w:ascii="Courier New" w:hAnsi="Courier New" w:eastAsia="Courier New" w:cs="Courier New"/>
      <w:b/>
      <w:bCs/>
      <w:color w:val="000000"/>
      <w:sz w:val="20"/>
      <w:szCs w:val="20"/>
      <w:lang w:eastAsia="ru-RU" w:bidi="ru-RU"/>
    </w:rPr>
  </w:style>
  <w:style w:type="character" w:styleId="889" w:customStyle="1">
    <w:name w:val="Абзац списка Знак"/>
    <w:link w:val="720"/>
    <w:uiPriority w:val="34"/>
    <w:rPr>
      <w:rFonts w:ascii="Times New Roman" w:hAnsi="Times New Roman"/>
      <w:sz w:val="24"/>
      <w:szCs w:val="24"/>
      <w:lang w:eastAsia="en-US"/>
    </w:rPr>
  </w:style>
  <w:style w:type="character" w:styleId="890">
    <w:name w:val="Strong"/>
    <w:uiPriority w:val="22"/>
    <w:qFormat/>
    <w:rPr>
      <w:b/>
      <w:bCs/>
    </w:rPr>
  </w:style>
  <w:style w:type="character" w:styleId="891" w:customStyle="1">
    <w:name w:val="Подподпункт Знак"/>
    <w:link w:val="892"/>
  </w:style>
  <w:style w:type="paragraph" w:styleId="892" w:customStyle="1">
    <w:name w:val="Подподпункт"/>
    <w:basedOn w:val="683"/>
    <w:link w:val="891"/>
    <w:pPr>
      <w:ind w:left="1134" w:hanging="1134"/>
      <w:jc w:val="both"/>
      <w:spacing w:line="360" w:lineRule="auto"/>
      <w:widowControl/>
    </w:pPr>
    <w:rPr>
      <w:rFonts w:ascii="Calibri" w:hAnsi="Calibri" w:eastAsia="Calibri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 Мозгин</dc:creator>
  <cp:revision>20</cp:revision>
  <dcterms:created xsi:type="dcterms:W3CDTF">2024-01-12T08:25:00Z</dcterms:created>
  <dcterms:modified xsi:type="dcterms:W3CDTF">2024-11-07T09:28:47Z</dcterms:modified>
  <cp:version>1048576</cp:version>
</cp:coreProperties>
</file>